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1B67A" w14:textId="77777777" w:rsidR="000E2485" w:rsidRPr="008A0B8A" w:rsidRDefault="000E2485" w:rsidP="000E2485">
      <w:pPr>
        <w:spacing w:after="150"/>
        <w:ind w:firstLine="450"/>
        <w:jc w:val="both"/>
        <w:rPr>
          <w:b/>
          <w:color w:val="000000"/>
          <w:sz w:val="28"/>
          <w:szCs w:val="28"/>
          <w:u w:val="single"/>
        </w:rPr>
      </w:pPr>
      <w:r w:rsidRPr="008A0B8A">
        <w:rPr>
          <w:b/>
          <w:color w:val="000000"/>
          <w:sz w:val="28"/>
          <w:szCs w:val="28"/>
          <w:u w:val="single"/>
        </w:rPr>
        <w:t>Проекти рішень з питань, включених до порядку денного загальних зборів:</w:t>
      </w:r>
    </w:p>
    <w:p w14:paraId="78824B2C" w14:textId="77777777" w:rsidR="008A0B8A" w:rsidRPr="008A0B8A" w:rsidRDefault="008A0B8A" w:rsidP="008A0B8A">
      <w:pPr>
        <w:tabs>
          <w:tab w:val="left" w:pos="0"/>
          <w:tab w:val="left" w:pos="567"/>
        </w:tabs>
        <w:jc w:val="both"/>
      </w:pPr>
      <w:r w:rsidRPr="008A0B8A">
        <w:t xml:space="preserve">1.Обрання голови  та членів лічильної комісії, прийняття рішень про припинення їх повноважень. </w:t>
      </w:r>
    </w:p>
    <w:p w14:paraId="398AC38E" w14:textId="77777777" w:rsidR="008A0B8A" w:rsidRPr="008A0B8A" w:rsidRDefault="008A0B8A" w:rsidP="008A0B8A">
      <w:pPr>
        <w:tabs>
          <w:tab w:val="left" w:pos="0"/>
          <w:tab w:val="left" w:pos="567"/>
        </w:tabs>
        <w:jc w:val="both"/>
        <w:rPr>
          <w:b/>
          <w:i/>
        </w:rPr>
      </w:pPr>
      <w:r w:rsidRPr="008A0B8A">
        <w:rPr>
          <w:b/>
          <w:i/>
        </w:rPr>
        <w:t>Проект рішення:</w:t>
      </w:r>
    </w:p>
    <w:p w14:paraId="1B7D0012" w14:textId="794AD03E" w:rsidR="008A0B8A" w:rsidRPr="008A0B8A" w:rsidRDefault="008A0B8A" w:rsidP="008A0B8A">
      <w:pPr>
        <w:tabs>
          <w:tab w:val="left" w:pos="0"/>
        </w:tabs>
        <w:ind w:firstLine="12"/>
        <w:rPr>
          <w:i/>
        </w:rPr>
      </w:pPr>
      <w:r w:rsidRPr="008A0B8A">
        <w:rPr>
          <w:i/>
        </w:rPr>
        <w:t>Обрати лічильну комісію у кількості однієї особи: Го</w:t>
      </w:r>
      <w:bookmarkStart w:id="0" w:name="_GoBack"/>
      <w:bookmarkEnd w:id="0"/>
      <w:r w:rsidRPr="008A0B8A">
        <w:rPr>
          <w:i/>
        </w:rPr>
        <w:t xml:space="preserve">лова лічильної комісії  - </w:t>
      </w:r>
      <w:r w:rsidR="00490EBA" w:rsidRPr="00490EBA">
        <w:rPr>
          <w:i/>
        </w:rPr>
        <w:t>Струк Геннадій Володимирович</w:t>
      </w:r>
      <w:r w:rsidRPr="008A0B8A">
        <w:rPr>
          <w:i/>
        </w:rPr>
        <w:t xml:space="preserve">. </w:t>
      </w:r>
    </w:p>
    <w:p w14:paraId="25787215" w14:textId="77777777" w:rsidR="008A0B8A" w:rsidRPr="008A0B8A" w:rsidRDefault="008A0B8A" w:rsidP="008A0B8A">
      <w:pPr>
        <w:tabs>
          <w:tab w:val="left" w:pos="0"/>
        </w:tabs>
        <w:ind w:firstLine="12"/>
        <w:rPr>
          <w:i/>
        </w:rPr>
      </w:pPr>
      <w:r w:rsidRPr="008A0B8A">
        <w:rPr>
          <w:i/>
        </w:rPr>
        <w:t>Припинити повноваження лічильної комісії по закінченню позачергових загальних зборів.</w:t>
      </w:r>
    </w:p>
    <w:p w14:paraId="18BD444E" w14:textId="77777777" w:rsidR="008A0B8A" w:rsidRPr="008A0B8A" w:rsidRDefault="008A0B8A" w:rsidP="008A0B8A">
      <w:pPr>
        <w:pStyle w:val="a5"/>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4"/>
          <w:szCs w:val="24"/>
          <w:lang w:val="uk-UA" w:eastAsia="ru-RU"/>
        </w:rPr>
      </w:pPr>
    </w:p>
    <w:p w14:paraId="2FF2326A" w14:textId="77777777" w:rsidR="008A0B8A" w:rsidRPr="008A0B8A" w:rsidRDefault="008A0B8A" w:rsidP="008A0B8A">
      <w:pPr>
        <w:tabs>
          <w:tab w:val="left" w:pos="284"/>
        </w:tabs>
        <w:suppressAutoHyphens/>
        <w:jc w:val="both"/>
      </w:pPr>
      <w:r w:rsidRPr="008A0B8A">
        <w:t>2. Обрання голови та секретаря загальних зборів.</w:t>
      </w:r>
    </w:p>
    <w:p w14:paraId="7984CA52"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7652A65E" w14:textId="77777777" w:rsidR="008A0B8A" w:rsidRPr="008A0B8A" w:rsidRDefault="008A0B8A" w:rsidP="008A0B8A">
      <w:pPr>
        <w:pStyle w:val="a3"/>
        <w:tabs>
          <w:tab w:val="left" w:pos="0"/>
        </w:tabs>
        <w:ind w:left="33"/>
        <w:rPr>
          <w:rFonts w:ascii="Times New Roman" w:hAnsi="Times New Roman"/>
          <w:i/>
          <w:sz w:val="24"/>
          <w:szCs w:val="24"/>
          <w:lang w:val="uk-UA" w:eastAsia="ru-RU"/>
        </w:rPr>
      </w:pPr>
      <w:r w:rsidRPr="008A0B8A">
        <w:rPr>
          <w:rFonts w:ascii="Times New Roman" w:hAnsi="Times New Roman"/>
          <w:i/>
          <w:sz w:val="24"/>
          <w:szCs w:val="24"/>
          <w:lang w:val="uk-UA" w:eastAsia="ru-RU"/>
        </w:rPr>
        <w:t>Обрати головою загальних зборів акціонерів Степанова Юрія Івановича, секретарем -  Вальт Альону Олександрівну.</w:t>
      </w:r>
    </w:p>
    <w:p w14:paraId="5BC56AA5" w14:textId="77777777" w:rsidR="008A0B8A" w:rsidRPr="008A0B8A" w:rsidRDefault="008A0B8A" w:rsidP="008A0B8A">
      <w:pPr>
        <w:pStyle w:val="a3"/>
        <w:tabs>
          <w:tab w:val="left" w:pos="0"/>
        </w:tabs>
        <w:ind w:left="33"/>
        <w:rPr>
          <w:rFonts w:ascii="Times New Roman" w:hAnsi="Times New Roman"/>
          <w:i/>
          <w:sz w:val="24"/>
          <w:szCs w:val="24"/>
          <w:lang w:val="uk-UA" w:eastAsia="ru-RU"/>
        </w:rPr>
      </w:pPr>
    </w:p>
    <w:p w14:paraId="3F991794" w14:textId="77777777" w:rsidR="008A0B8A" w:rsidRPr="008A0B8A" w:rsidRDefault="008A0B8A" w:rsidP="008A0B8A">
      <w:pPr>
        <w:tabs>
          <w:tab w:val="left" w:pos="0"/>
          <w:tab w:val="left" w:pos="567"/>
        </w:tabs>
      </w:pPr>
      <w:r w:rsidRPr="008A0B8A">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14:paraId="6F2A6839"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48ED3C48" w14:textId="77777777" w:rsidR="008A0B8A" w:rsidRPr="008A0B8A" w:rsidRDefault="008A0B8A" w:rsidP="008A0B8A">
      <w:pPr>
        <w:tabs>
          <w:tab w:val="left" w:pos="0"/>
        </w:tabs>
        <w:ind w:firstLine="12"/>
        <w:rPr>
          <w:i/>
        </w:rPr>
      </w:pPr>
      <w:r w:rsidRPr="008A0B8A">
        <w:rPr>
          <w:i/>
        </w:rPr>
        <w:t>Затвердити наступний регламент проведення загальних зборів:</w:t>
      </w:r>
    </w:p>
    <w:p w14:paraId="502E6D72" w14:textId="77777777" w:rsidR="008A0B8A" w:rsidRPr="008A0B8A" w:rsidRDefault="008A0B8A" w:rsidP="008A0B8A">
      <w:pPr>
        <w:ind w:firstLine="709"/>
        <w:jc w:val="both"/>
        <w:rPr>
          <w:i/>
        </w:rPr>
      </w:pPr>
      <w:r w:rsidRPr="008A0B8A">
        <w:rPr>
          <w:i/>
        </w:rPr>
        <w:t>- доповіді – до 10 хв.</w:t>
      </w:r>
    </w:p>
    <w:p w14:paraId="20299FB5" w14:textId="77777777" w:rsidR="008A0B8A" w:rsidRPr="008A0B8A" w:rsidRDefault="008A0B8A" w:rsidP="008A0B8A">
      <w:pPr>
        <w:ind w:firstLine="709"/>
        <w:jc w:val="both"/>
        <w:rPr>
          <w:i/>
        </w:rPr>
      </w:pPr>
      <w:r w:rsidRPr="008A0B8A">
        <w:rPr>
          <w:i/>
        </w:rPr>
        <w:t xml:space="preserve">- виступи – до 5 хв. </w:t>
      </w:r>
    </w:p>
    <w:p w14:paraId="77E0AECE" w14:textId="77777777" w:rsidR="008A0B8A" w:rsidRPr="008A0B8A" w:rsidRDefault="008A0B8A" w:rsidP="008A0B8A">
      <w:pPr>
        <w:ind w:firstLine="720"/>
        <w:jc w:val="both"/>
        <w:rPr>
          <w:i/>
        </w:rPr>
      </w:pPr>
      <w:r w:rsidRPr="008A0B8A">
        <w:rPr>
          <w:i/>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019EFCB1" w14:textId="77777777" w:rsidR="008A0B8A" w:rsidRPr="008A0B8A" w:rsidRDefault="008A0B8A" w:rsidP="008A0B8A">
      <w:pPr>
        <w:jc w:val="both"/>
        <w:rPr>
          <w:i/>
        </w:rPr>
      </w:pPr>
      <w:r w:rsidRPr="008A0B8A">
        <w:rPr>
          <w:i/>
        </w:rPr>
        <w:t xml:space="preserve">         Одна голосуюча акція надає акціонеру один голос для вирішення кожного з переліку питань, що виносяться на голосування. </w:t>
      </w:r>
    </w:p>
    <w:p w14:paraId="4B50BC7C" w14:textId="77777777" w:rsidR="008A0B8A" w:rsidRPr="008A0B8A" w:rsidRDefault="008A0B8A" w:rsidP="008A0B8A">
      <w:pPr>
        <w:jc w:val="both"/>
        <w:rPr>
          <w:i/>
        </w:rPr>
      </w:pPr>
      <w:r w:rsidRPr="008A0B8A">
        <w:rPr>
          <w:i/>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735BC500" w14:textId="77777777" w:rsidR="008A0B8A" w:rsidRPr="008A0B8A" w:rsidRDefault="008A0B8A" w:rsidP="008A0B8A">
      <w:pPr>
        <w:jc w:val="both"/>
        <w:rPr>
          <w:i/>
        </w:rPr>
      </w:pPr>
      <w:r w:rsidRPr="008A0B8A">
        <w:rPr>
          <w:i/>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14:paraId="22A18225" w14:textId="77777777" w:rsidR="008A0B8A" w:rsidRPr="008A0B8A" w:rsidRDefault="008A0B8A" w:rsidP="008A0B8A">
      <w:pPr>
        <w:jc w:val="both"/>
        <w:rPr>
          <w:i/>
        </w:rPr>
      </w:pPr>
      <w:r w:rsidRPr="008A0B8A">
        <w:rPr>
          <w:i/>
        </w:rPr>
        <w:t xml:space="preserve">         Будь-який акціонер може взяти участь у виступах, зауваженнях, уточненнях тільки з того питання, яке обговорюється. </w:t>
      </w:r>
    </w:p>
    <w:p w14:paraId="290A83B5" w14:textId="77777777" w:rsidR="008A0B8A" w:rsidRPr="008A0B8A" w:rsidRDefault="008A0B8A" w:rsidP="008A0B8A">
      <w:pPr>
        <w:tabs>
          <w:tab w:val="left" w:pos="0"/>
        </w:tabs>
        <w:rPr>
          <w:i/>
        </w:rPr>
      </w:pPr>
      <w:r w:rsidRPr="008A0B8A">
        <w:rPr>
          <w:i/>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14:paraId="136B8E6C" w14:textId="77777777" w:rsidR="008A0B8A" w:rsidRPr="008A0B8A" w:rsidRDefault="008A0B8A" w:rsidP="008A0B8A">
      <w:pPr>
        <w:pStyle w:val="a6"/>
        <w:ind w:firstLine="426"/>
        <w:jc w:val="both"/>
        <w:rPr>
          <w:rFonts w:eastAsia="Times New Roman"/>
          <w:bCs/>
          <w:i/>
          <w:sz w:val="24"/>
          <w:szCs w:val="24"/>
          <w:lang w:eastAsia="ru-RU"/>
        </w:rPr>
      </w:pPr>
      <w:r w:rsidRPr="008A0B8A">
        <w:rPr>
          <w:rFonts w:eastAsia="Times New Roman"/>
          <w:i/>
          <w:sz w:val="24"/>
          <w:szCs w:val="24"/>
          <w:lang w:val="uk-UA" w:eastAsia="ru-RU"/>
        </w:rPr>
        <w:t xml:space="preserve">Бюлетені для голосування, видані акціонеру (представнику акціонера) за результатами проведеної реєстрації, засвідчуються </w:t>
      </w:r>
      <w:r w:rsidRPr="008A0B8A">
        <w:rPr>
          <w:rFonts w:eastAsia="Times New Roman"/>
          <w:bCs/>
          <w:i/>
          <w:sz w:val="24"/>
          <w:szCs w:val="24"/>
          <w:lang w:eastAsia="ru-RU"/>
        </w:rPr>
        <w:t>підписом Голови Реєстраційної кoмiciї</w:t>
      </w:r>
      <w:r w:rsidRPr="008A0B8A">
        <w:rPr>
          <w:rFonts w:eastAsia="Times New Roman"/>
          <w:b/>
          <w:bCs/>
          <w:i/>
          <w:sz w:val="24"/>
          <w:szCs w:val="24"/>
          <w:lang w:eastAsia="ru-RU"/>
        </w:rPr>
        <w:t xml:space="preserve"> </w:t>
      </w:r>
      <w:r w:rsidRPr="008A0B8A">
        <w:rPr>
          <w:rFonts w:eastAsia="Times New Roman"/>
          <w:i/>
          <w:sz w:val="24"/>
          <w:szCs w:val="24"/>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8A0B8A">
        <w:rPr>
          <w:rFonts w:eastAsia="Times New Roman"/>
          <w:bCs/>
          <w:i/>
          <w:sz w:val="24"/>
          <w:szCs w:val="24"/>
          <w:lang w:eastAsia="ru-RU"/>
        </w:rPr>
        <w:t>Бюлетень для голосування визнається недійсним у разі, якщо він відрізняється від офіційно виготовленого Товариством зразка.</w:t>
      </w:r>
    </w:p>
    <w:p w14:paraId="20438CA5"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4"/>
          <w:szCs w:val="24"/>
          <w:lang w:val="uk-UA" w:eastAsia="ru-RU"/>
        </w:rPr>
      </w:pPr>
    </w:p>
    <w:p w14:paraId="5A774D63"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4"/>
          <w:szCs w:val="24"/>
          <w:lang w:val="uk-UA" w:eastAsia="ru-RU"/>
        </w:rPr>
      </w:pPr>
      <w:r w:rsidRPr="008A0B8A">
        <w:rPr>
          <w:rFonts w:ascii="Times New Roman" w:eastAsia="Times New Roman" w:hAnsi="Times New Roman"/>
          <w:sz w:val="24"/>
          <w:szCs w:val="24"/>
          <w:lang w:val="uk-UA" w:eastAsia="ru-RU"/>
        </w:rPr>
        <w:t>4. Розгляд звіту Виконавчого органу Товариства за 2019 рік. Прийняття рішення за наслідками розгляду; затвердження заходів за результатами такого розгляду.</w:t>
      </w:r>
    </w:p>
    <w:p w14:paraId="2DE0B8B1"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211A1D18" w14:textId="77777777" w:rsidR="008A0B8A" w:rsidRPr="008A0B8A" w:rsidRDefault="008A0B8A" w:rsidP="008A0B8A">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4"/>
          <w:szCs w:val="24"/>
          <w:lang w:val="uk-UA" w:eastAsia="ru-RU"/>
        </w:rPr>
      </w:pPr>
      <w:r w:rsidRPr="008A0B8A">
        <w:rPr>
          <w:rFonts w:ascii="Times New Roman" w:eastAsia="Times New Roman" w:hAnsi="Times New Roman"/>
          <w:i/>
          <w:sz w:val="24"/>
          <w:szCs w:val="24"/>
          <w:lang w:val="uk-UA" w:eastAsia="ru-RU"/>
        </w:rPr>
        <w:t>Затвердити звіт Виконавчого органу Товариства  за 2019 рік. За наслідками розгляду звіту Виконавчого органу за 2019 рік - роботу Виконавчого органу Товариства  у звітному періоді визнати задовільною. Прийняти рішення за результатами такого розгляду та затвердити основні напрямки діяльності Товариства, перспективи  розвитку та основні заходи на 2020 рік.</w:t>
      </w:r>
    </w:p>
    <w:p w14:paraId="01DADD71" w14:textId="77777777" w:rsidR="008A0B8A" w:rsidRPr="008A0B8A" w:rsidRDefault="008A0B8A" w:rsidP="008A0B8A">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4"/>
          <w:szCs w:val="24"/>
          <w:lang w:val="uk-UA" w:eastAsia="ru-RU"/>
        </w:rPr>
      </w:pPr>
      <w:r w:rsidRPr="008A0B8A">
        <w:rPr>
          <w:rFonts w:ascii="Times New Roman" w:eastAsia="Times New Roman" w:hAnsi="Times New Roman"/>
          <w:i/>
          <w:sz w:val="24"/>
          <w:szCs w:val="24"/>
          <w:lang w:val="uk-UA" w:eastAsia="ru-RU"/>
        </w:rPr>
        <w:t xml:space="preserve"> </w:t>
      </w:r>
    </w:p>
    <w:p w14:paraId="446DE29C"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4"/>
          <w:szCs w:val="24"/>
          <w:lang w:val="uk-UA" w:eastAsia="ru-RU"/>
        </w:rPr>
      </w:pPr>
      <w:r w:rsidRPr="008A0B8A">
        <w:rPr>
          <w:rFonts w:ascii="Times New Roman" w:eastAsia="Times New Roman" w:hAnsi="Times New Roman"/>
          <w:sz w:val="24"/>
          <w:szCs w:val="24"/>
          <w:lang w:val="uk-UA" w:eastAsia="ru-RU"/>
        </w:rPr>
        <w:t>5. Розгляд звіту Наглядової ради Товариства за 2019 рік. Прийняття рішення за наслідками розгляду; затвердження заходів за результатами такого розгляду.</w:t>
      </w:r>
    </w:p>
    <w:p w14:paraId="469B5B1B"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510302E2" w14:textId="77777777" w:rsidR="008A0B8A" w:rsidRPr="008A0B8A" w:rsidRDefault="008A0B8A" w:rsidP="008A0B8A">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4"/>
          <w:szCs w:val="24"/>
          <w:lang w:val="uk-UA" w:eastAsia="ru-RU"/>
        </w:rPr>
      </w:pPr>
      <w:r w:rsidRPr="008A0B8A">
        <w:rPr>
          <w:rFonts w:ascii="Times New Roman" w:eastAsia="Times New Roman" w:hAnsi="Times New Roman"/>
          <w:i/>
          <w:sz w:val="24"/>
          <w:szCs w:val="24"/>
          <w:lang w:val="uk-UA" w:eastAsia="ru-RU"/>
        </w:rPr>
        <w:t xml:space="preserve">Затвердити звіт Наглядової ради Товариства за 2019 рік. За наслідками розгляду звіту Наглядової ради за 2019 рік - роботу Наглядової ради Товариства у звітному періоді визнати задовільною. </w:t>
      </w:r>
      <w:r w:rsidRPr="008A0B8A">
        <w:rPr>
          <w:rFonts w:ascii="Times New Roman" w:eastAsia="Times New Roman" w:hAnsi="Times New Roman"/>
          <w:i/>
          <w:sz w:val="24"/>
          <w:szCs w:val="24"/>
          <w:lang w:val="uk-UA" w:eastAsia="ru-RU"/>
        </w:rPr>
        <w:lastRenderedPageBreak/>
        <w:t>Прийняти рішення за результатами такого розгляду та затвердити основні заходи Наглядової ради на 2020 рік.</w:t>
      </w:r>
    </w:p>
    <w:p w14:paraId="7B927D67" w14:textId="77777777" w:rsidR="008A0B8A" w:rsidRPr="008A0B8A" w:rsidRDefault="008A0B8A" w:rsidP="008A0B8A">
      <w:pPr>
        <w:jc w:val="both"/>
        <w:rPr>
          <w:b/>
          <w:i/>
        </w:rPr>
      </w:pPr>
    </w:p>
    <w:p w14:paraId="3DE1C870"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4"/>
          <w:szCs w:val="24"/>
          <w:lang w:val="uk-UA" w:eastAsia="ru-RU"/>
        </w:rPr>
      </w:pPr>
      <w:r w:rsidRPr="008A0B8A">
        <w:rPr>
          <w:rFonts w:ascii="Times New Roman" w:eastAsia="Times New Roman" w:hAnsi="Times New Roman"/>
          <w:sz w:val="24"/>
          <w:szCs w:val="24"/>
          <w:lang w:val="uk-UA" w:eastAsia="ru-RU"/>
        </w:rPr>
        <w:t>6. Розгляд звіту Ревізора Товариства за 2019 рік. Прийняття рішення за наслідками розгляду; затвердження заходів за результатами такого розгляду.</w:t>
      </w:r>
    </w:p>
    <w:p w14:paraId="19D33972"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574F8C33" w14:textId="77777777" w:rsidR="008A0B8A" w:rsidRPr="008A0B8A" w:rsidRDefault="008A0B8A" w:rsidP="008A0B8A">
      <w:pPr>
        <w:pStyle w:val="a5"/>
        <w:tabs>
          <w:tab w:val="left" w:pos="0"/>
        </w:tabs>
        <w:spacing w:after="0" w:line="240" w:lineRule="auto"/>
        <w:ind w:left="0"/>
        <w:jc w:val="both"/>
        <w:rPr>
          <w:rFonts w:ascii="Times New Roman" w:eastAsia="Times New Roman" w:hAnsi="Times New Roman"/>
          <w:i/>
          <w:sz w:val="24"/>
          <w:szCs w:val="24"/>
          <w:lang w:val="uk-UA" w:eastAsia="ru-RU"/>
        </w:rPr>
      </w:pPr>
      <w:r w:rsidRPr="008A0B8A">
        <w:rPr>
          <w:rFonts w:ascii="Times New Roman" w:eastAsia="Times New Roman" w:hAnsi="Times New Roman"/>
          <w:i/>
          <w:sz w:val="24"/>
          <w:szCs w:val="24"/>
          <w:lang w:val="uk-UA" w:eastAsia="ru-RU"/>
        </w:rPr>
        <w:t>Затвердити звіт та висновки Ревізора Товариства за 2019 року. За наслідками розгляду звіту та висновків Ревізора за 2019 рік - роботу Ревізора Товариства у звітному періоді визнати задовільною. Прийняти рішення за результатами такого розгляду та затвердити основні заходи діяльності Ревізора на 2020 рік.</w:t>
      </w:r>
    </w:p>
    <w:p w14:paraId="21C26CCD" w14:textId="77777777" w:rsidR="008A0B8A" w:rsidRPr="008A0B8A" w:rsidRDefault="008A0B8A" w:rsidP="008A0B8A">
      <w:pPr>
        <w:jc w:val="both"/>
        <w:rPr>
          <w:b/>
          <w:i/>
        </w:rPr>
      </w:pPr>
    </w:p>
    <w:p w14:paraId="3AD4BA02"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4"/>
          <w:szCs w:val="24"/>
          <w:lang w:val="uk-UA" w:eastAsia="ru-RU"/>
        </w:rPr>
      </w:pPr>
      <w:r w:rsidRPr="008A0B8A">
        <w:rPr>
          <w:rFonts w:ascii="Times New Roman" w:eastAsia="Times New Roman" w:hAnsi="Times New Roman"/>
          <w:sz w:val="24"/>
          <w:szCs w:val="24"/>
          <w:lang w:val="uk-UA" w:eastAsia="ru-RU"/>
        </w:rPr>
        <w:t>7. Затвердження річного звіту Товариства за 2019 рік.</w:t>
      </w:r>
    </w:p>
    <w:p w14:paraId="0DF0A7C9"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64618151" w14:textId="77777777" w:rsidR="008A0B8A" w:rsidRPr="008A0B8A" w:rsidRDefault="008A0B8A" w:rsidP="008A0B8A">
      <w:pPr>
        <w:pStyle w:val="a5"/>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4"/>
          <w:szCs w:val="24"/>
          <w:lang w:val="uk-UA" w:eastAsia="ru-RU"/>
        </w:rPr>
      </w:pPr>
      <w:r w:rsidRPr="008A0B8A">
        <w:rPr>
          <w:rFonts w:ascii="Times New Roman" w:eastAsia="Times New Roman" w:hAnsi="Times New Roman"/>
          <w:i/>
          <w:sz w:val="24"/>
          <w:szCs w:val="24"/>
          <w:lang w:val="uk-UA" w:eastAsia="ru-RU"/>
        </w:rPr>
        <w:t>Затвердити річний звіт Товариства  за 2019 рік.</w:t>
      </w:r>
    </w:p>
    <w:p w14:paraId="0BAADC37" w14:textId="77777777" w:rsidR="008A0B8A" w:rsidRPr="008A0B8A" w:rsidRDefault="008A0B8A" w:rsidP="008A0B8A">
      <w:pPr>
        <w:tabs>
          <w:tab w:val="left" w:pos="0"/>
        </w:tabs>
        <w:suppressAutoHyphens/>
        <w:jc w:val="both"/>
        <w:rPr>
          <w:i/>
        </w:rPr>
      </w:pPr>
    </w:p>
    <w:p w14:paraId="34CEF103" w14:textId="77777777" w:rsidR="008A0B8A" w:rsidRPr="008A0B8A" w:rsidRDefault="008A0B8A" w:rsidP="008A0B8A">
      <w:pPr>
        <w:tabs>
          <w:tab w:val="left" w:pos="0"/>
        </w:tabs>
        <w:suppressAutoHyphens/>
        <w:jc w:val="both"/>
      </w:pPr>
      <w:r w:rsidRPr="008A0B8A">
        <w:t>8.  Розподіл прибутку, прийняття рішення про виплату дивідендів та їх розмір з урахуванням вимог законодавства України.</w:t>
      </w:r>
    </w:p>
    <w:p w14:paraId="0200E16D" w14:textId="77777777" w:rsidR="008A0B8A" w:rsidRPr="008A0B8A" w:rsidRDefault="008A0B8A" w:rsidP="008A0B8A">
      <w:pPr>
        <w:pStyle w:val="a5"/>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4"/>
          <w:szCs w:val="24"/>
          <w:lang w:val="uk-UA" w:eastAsia="ru-RU"/>
        </w:rPr>
      </w:pPr>
      <w:r w:rsidRPr="008A0B8A">
        <w:rPr>
          <w:rFonts w:ascii="Times New Roman" w:eastAsia="Times New Roman" w:hAnsi="Times New Roman"/>
          <w:b/>
          <w:i/>
          <w:sz w:val="24"/>
          <w:szCs w:val="24"/>
          <w:lang w:val="uk-UA" w:eastAsia="ru-RU"/>
        </w:rPr>
        <w:t>Проект рішення:</w:t>
      </w:r>
    </w:p>
    <w:p w14:paraId="76D4C432" w14:textId="78C7ED43" w:rsidR="001B612D" w:rsidRPr="00C33A76" w:rsidRDefault="00C33A76" w:rsidP="00C33A76">
      <w:pPr>
        <w:tabs>
          <w:tab w:val="left" w:pos="0"/>
          <w:tab w:val="left" w:pos="567"/>
        </w:tabs>
        <w:jc w:val="both"/>
        <w:rPr>
          <w:i/>
        </w:rPr>
      </w:pPr>
      <w:r w:rsidRPr="00C33A76">
        <w:rPr>
          <w:i/>
        </w:rPr>
        <w:t>У 2019 році Товариство отримало прибуток у розмірі 3,3 тис.грн. Отриманий прибуток спрямувати на  збільшення додаткового капіталу. Надати повноваження Директору  використовувати грошові кошти додаткового капіталу на розвиток Товариства. Запропоновано дивіденди за 2019 рік не виплачувати; Рішення про виплату дивідендів та їх розмір не приймати</w:t>
      </w:r>
    </w:p>
    <w:sectPr w:rsidR="001B612D" w:rsidRPr="00C33A76" w:rsidSect="00F35BC9">
      <w:pgSz w:w="11906" w:h="16838"/>
      <w:pgMar w:top="993" w:right="567" w:bottom="39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85"/>
    <w:rsid w:val="000E2485"/>
    <w:rsid w:val="00191645"/>
    <w:rsid w:val="001B612D"/>
    <w:rsid w:val="002E029D"/>
    <w:rsid w:val="002F2C08"/>
    <w:rsid w:val="00404B77"/>
    <w:rsid w:val="00480BCF"/>
    <w:rsid w:val="00490EBA"/>
    <w:rsid w:val="005E0C77"/>
    <w:rsid w:val="005E18BA"/>
    <w:rsid w:val="006C7AC6"/>
    <w:rsid w:val="00705315"/>
    <w:rsid w:val="00757482"/>
    <w:rsid w:val="00765CB9"/>
    <w:rsid w:val="008A0B8A"/>
    <w:rsid w:val="00A7706D"/>
    <w:rsid w:val="00B80E3B"/>
    <w:rsid w:val="00BF6881"/>
    <w:rsid w:val="00C33A76"/>
    <w:rsid w:val="00C61AD8"/>
    <w:rsid w:val="00E854AF"/>
    <w:rsid w:val="00EA0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D888"/>
  <w15:docId w15:val="{B1BFFC2E-B273-4658-9EF8-E0F75771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0E2485"/>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uiPriority w:val="99"/>
    <w:rsid w:val="00C61AD8"/>
    <w:rPr>
      <w:rFonts w:ascii="Courier New" w:hAnsi="Courier New" w:cs="Courier New"/>
      <w:sz w:val="20"/>
      <w:szCs w:val="20"/>
      <w:lang w:val="ru-RU"/>
    </w:rPr>
  </w:style>
  <w:style w:type="character" w:customStyle="1" w:styleId="a8">
    <w:name w:val="Текст Знак"/>
    <w:basedOn w:val="a0"/>
    <w:link w:val="a7"/>
    <w:uiPriority w:val="99"/>
    <w:rsid w:val="00C61AD8"/>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2E0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2E029D"/>
    <w:rPr>
      <w:rFonts w:ascii="Courier New" w:eastAsia="Times New Roman" w:hAnsi="Courier New" w:cs="Courier New"/>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5</cp:revision>
  <dcterms:created xsi:type="dcterms:W3CDTF">2020-03-09T15:39:00Z</dcterms:created>
  <dcterms:modified xsi:type="dcterms:W3CDTF">2020-03-18T13:58:00Z</dcterms:modified>
</cp:coreProperties>
</file>